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C5" w:rsidRDefault="007655C5" w:rsidP="007655C5">
      <w:pPr>
        <w:rPr>
          <w:rFonts w:ascii="Avenir Next LT Pro" w:eastAsia="Times New Roman" w:hAnsi="Avenir Next LT Pro" w:cs="Calibri"/>
          <w:b/>
          <w:bCs/>
          <w:color w:val="000000"/>
          <w:sz w:val="28"/>
          <w:szCs w:val="28"/>
        </w:rPr>
      </w:pPr>
      <w:r w:rsidRPr="007655C5">
        <w:rPr>
          <w:rFonts w:ascii="Avenir Next LT Pro" w:eastAsia="Times New Roman" w:hAnsi="Avenir Next LT Pro" w:cs="Calibri"/>
          <w:b/>
          <w:bCs/>
          <w:color w:val="000000"/>
          <w:sz w:val="28"/>
          <w:szCs w:val="28"/>
        </w:rPr>
        <w:t>Details on the Canada Emergency Wage Subsidy (CEWS)</w:t>
      </w:r>
    </w:p>
    <w:p w:rsidR="0053315D" w:rsidRPr="007655C5" w:rsidRDefault="0053315D" w:rsidP="007655C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3315D" w:rsidRDefault="0053315D" w:rsidP="007655C5">
      <w:pPr>
        <w:rPr>
          <w:rFonts w:ascii="Avenir Next LT Pro" w:eastAsia="Times New Roman" w:hAnsi="Avenir Next LT Pro" w:cs="Calibri"/>
          <w:color w:val="000000"/>
          <w:sz w:val="28"/>
          <w:szCs w:val="28"/>
        </w:rPr>
      </w:pPr>
    </w:p>
    <w:p w:rsidR="0053315D" w:rsidRDefault="0053315D" w:rsidP="007655C5">
      <w:pPr>
        <w:rPr>
          <w:rFonts w:ascii="Avenir Next LT Pro" w:eastAsia="Times New Roman" w:hAnsi="Avenir Next LT Pro" w:cs="Calibri"/>
          <w:color w:val="000000"/>
          <w:sz w:val="28"/>
          <w:szCs w:val="28"/>
        </w:rPr>
      </w:pP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>D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ental offices employers whose business have been affected by COVID-19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can apply for the </w:t>
      </w:r>
      <w:r w:rsidR="00F977CC"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Canada Emergency Wage Subsidy (CEWS)</w:t>
      </w:r>
      <w:r w:rsidR="00F977CC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when the application portal opens on Monday, 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April 27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>th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.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Employers may be eligible for a subsidy of 75% of employee wages for up to 12 weeks, retroactive from March 15, 2020, to June 6, 2020.</w:t>
      </w:r>
    </w:p>
    <w:p w:rsidR="0053315D" w:rsidRDefault="0053315D" w:rsidP="007655C5">
      <w:pPr>
        <w:rPr>
          <w:rFonts w:ascii="Avenir Next LT Pro" w:eastAsia="Times New Roman" w:hAnsi="Avenir Next LT Pro" w:cs="Calibri"/>
          <w:color w:val="000000"/>
          <w:sz w:val="28"/>
          <w:szCs w:val="28"/>
        </w:rPr>
      </w:pPr>
    </w:p>
    <w:p w:rsidR="0053315D" w:rsidRDefault="0053315D" w:rsidP="007655C5">
      <w:pPr>
        <w:rPr>
          <w:rFonts w:ascii="Avenir Next LT Pro" w:eastAsia="Times New Roman" w:hAnsi="Avenir Next LT Pro" w:cs="Calibri"/>
          <w:color w:val="0000FF"/>
          <w:sz w:val="28"/>
          <w:szCs w:val="28"/>
          <w:u w:val="single"/>
        </w:rPr>
      </w:pP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>More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information on the eligibility and application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process are available </w:t>
      </w:r>
      <w:hyperlink r:id="rId4" w:history="1">
        <w:r w:rsidRPr="0053315D">
          <w:rPr>
            <w:rStyle w:val="Hyperlink"/>
            <w:rFonts w:ascii="Avenir Next LT Pro" w:eastAsia="Times New Roman" w:hAnsi="Avenir Next LT Pro" w:cs="Calibri"/>
            <w:sz w:val="28"/>
            <w:szCs w:val="28"/>
          </w:rPr>
          <w:t>here.</w:t>
        </w:r>
      </w:hyperlink>
    </w:p>
    <w:p w:rsidR="00627FA2" w:rsidRPr="007655C5" w:rsidRDefault="00627FA2" w:rsidP="00627FA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27FA2" w:rsidRDefault="00627FA2" w:rsidP="00627FA2">
      <w:pPr>
        <w:rPr>
          <w:rFonts w:ascii="Avenir Next LT Pro" w:eastAsia="Times New Roman" w:hAnsi="Avenir Next LT Pro" w:cs="Calibri"/>
          <w:color w:val="000000"/>
          <w:sz w:val="28"/>
          <w:szCs w:val="28"/>
        </w:rPr>
      </w:pP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Government officials anticipate having 90% of applications processed by May 5th with cash flowing shortly after.</w:t>
      </w:r>
    </w:p>
    <w:p w:rsidR="0053315D" w:rsidRPr="007655C5" w:rsidRDefault="0053315D" w:rsidP="007655C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3315D" w:rsidRPr="007655C5" w:rsidRDefault="0053315D" w:rsidP="007655C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7655C5" w:rsidRDefault="00F977CC" w:rsidP="007655C5">
      <w:pPr>
        <w:rPr>
          <w:rFonts w:ascii="Avenir Next LT Pro" w:eastAsia="Times New Roman" w:hAnsi="Avenir Next LT Pro" w:cs="Calibri"/>
          <w:color w:val="000000"/>
          <w:sz w:val="28"/>
          <w:szCs w:val="28"/>
        </w:rPr>
      </w:pP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>Dental office employees</w:t>
      </w:r>
      <w:r w:rsidR="007655C5"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do </w:t>
      </w:r>
      <w:r w:rsidR="007655C5" w:rsidRPr="007655C5">
        <w:rPr>
          <w:rFonts w:ascii="Avenir Next LT Pro" w:eastAsia="Times New Roman" w:hAnsi="Avenir Next LT Pro" w:cs="Calibri"/>
          <w:b/>
          <w:bCs/>
          <w:color w:val="000000"/>
          <w:sz w:val="28"/>
          <w:szCs w:val="28"/>
        </w:rPr>
        <w:t>not</w:t>
      </w:r>
      <w:r w:rsidR="007655C5"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 have to be actively working to be eligible for the wage subsidy. </w:t>
      </w:r>
      <w:r>
        <w:rPr>
          <w:rFonts w:ascii="Avenir Next LT Pro" w:eastAsia="Times New Roman" w:hAnsi="Avenir Next LT Pro" w:cs="Calibri"/>
          <w:color w:val="000000"/>
          <w:sz w:val="28"/>
          <w:szCs w:val="28"/>
        </w:rPr>
        <w:t>Hygienists, assistants and front office staff working outside the clinic</w:t>
      </w:r>
      <w:r w:rsidR="007655C5"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 can be proactive, maintain relationships with clients, and help to ensure a successful transition to re-opening the office. </w:t>
      </w:r>
    </w:p>
    <w:p w:rsidR="0053315D" w:rsidRPr="007655C5" w:rsidRDefault="0053315D" w:rsidP="007655C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7655C5" w:rsidRPr="007655C5" w:rsidRDefault="007655C5" w:rsidP="007655C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Possible tasks include:</w:t>
      </w:r>
    </w:p>
    <w:p w:rsidR="007655C5" w:rsidRPr="007655C5" w:rsidRDefault="007655C5" w:rsidP="007655C5">
      <w:pPr>
        <w:ind w:left="36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alibri" w:eastAsia="Times New Roman" w:hAnsi="Calibri" w:cs="Calibri"/>
          <w:color w:val="000000"/>
          <w:sz w:val="28"/>
          <w:szCs w:val="28"/>
        </w:rPr>
        <w:t>·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Developing a strategy to manage the dental hygiene schedule once the office re-opens.</w:t>
      </w:r>
    </w:p>
    <w:p w:rsidR="007655C5" w:rsidRPr="007655C5" w:rsidRDefault="007655C5" w:rsidP="007655C5">
      <w:pPr>
        <w:ind w:left="36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alibri" w:eastAsia="Times New Roman" w:hAnsi="Calibri" w:cs="Calibri"/>
          <w:color w:val="000000"/>
          <w:sz w:val="28"/>
          <w:szCs w:val="28"/>
        </w:rPr>
        <w:t>·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Making care calls to clients to answer any questions about their oral health to help maintain a relationship during office closure. </w:t>
      </w:r>
    </w:p>
    <w:p w:rsidR="007655C5" w:rsidRPr="007655C5" w:rsidRDefault="007655C5" w:rsidP="007655C5">
      <w:pPr>
        <w:ind w:left="108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ourier New" w:eastAsia="Times New Roman" w:hAnsi="Courier New" w:cs="Courier New"/>
          <w:color w:val="000000"/>
          <w:sz w:val="28"/>
          <w:szCs w:val="28"/>
        </w:rPr>
        <w:t>o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Educating clients on the importance of oral health and maintaining contact during the </w:t>
      </w:r>
      <w:r w:rsidR="00D86465">
        <w:rPr>
          <w:rFonts w:ascii="Avenir Next LT Pro" w:eastAsia="Times New Roman" w:hAnsi="Avenir Next LT Pro" w:cs="Calibri"/>
          <w:color w:val="000000"/>
          <w:sz w:val="28"/>
          <w:szCs w:val="28"/>
        </w:rPr>
        <w:t>period of social distancing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.</w:t>
      </w:r>
    </w:p>
    <w:p w:rsidR="007655C5" w:rsidRPr="007655C5" w:rsidRDefault="007655C5" w:rsidP="007655C5">
      <w:pPr>
        <w:ind w:left="108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ourier New" w:eastAsia="Times New Roman" w:hAnsi="Courier New" w:cs="Courier New"/>
          <w:color w:val="000000"/>
          <w:sz w:val="28"/>
          <w:szCs w:val="28"/>
        </w:rPr>
        <w:t>o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Educating clients on the importance of resuming regular visits after the </w:t>
      </w:r>
      <w:r w:rsidR="00D86465">
        <w:rPr>
          <w:rFonts w:ascii="Avenir Next LT Pro" w:eastAsia="Times New Roman" w:hAnsi="Avenir Next LT Pro" w:cs="Calibri"/>
          <w:color w:val="000000"/>
          <w:sz w:val="28"/>
          <w:szCs w:val="28"/>
        </w:rPr>
        <w:t>period of social distancing</w:t>
      </w:r>
    </w:p>
    <w:p w:rsidR="007655C5" w:rsidRPr="007655C5" w:rsidRDefault="007655C5" w:rsidP="007655C5">
      <w:pPr>
        <w:ind w:left="36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alibri" w:eastAsia="Times New Roman" w:hAnsi="Calibri" w:cs="Calibri"/>
          <w:color w:val="000000"/>
          <w:sz w:val="28"/>
          <w:szCs w:val="28"/>
        </w:rPr>
        <w:t>·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Making a list of clients who have not been seen in the last 12-36 months. These clients can be contacted once a date is set to re-open, or later depending on the schedule.</w:t>
      </w:r>
    </w:p>
    <w:p w:rsidR="00F977CC" w:rsidRPr="007655C5" w:rsidRDefault="007655C5" w:rsidP="007655C5">
      <w:pPr>
        <w:ind w:left="36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alibri" w:eastAsia="Times New Roman" w:hAnsi="Calibri" w:cs="Calibri"/>
          <w:color w:val="000000"/>
          <w:sz w:val="28"/>
          <w:szCs w:val="28"/>
        </w:rPr>
        <w:t>·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 xml:space="preserve">Taking online courses and webinars to improve their practice. Topics include continuing education, office management, software use/training, etc. </w:t>
      </w:r>
    </w:p>
    <w:p w:rsidR="007655C5" w:rsidRPr="007655C5" w:rsidRDefault="007655C5" w:rsidP="007655C5">
      <w:pPr>
        <w:ind w:left="363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7655C5">
        <w:rPr>
          <w:rFonts w:ascii="Calibri" w:eastAsia="Times New Roman" w:hAnsi="Calibri" w:cs="Calibri"/>
          <w:color w:val="000000"/>
          <w:sz w:val="28"/>
          <w:szCs w:val="28"/>
        </w:rPr>
        <w:t>·</w:t>
      </w:r>
      <w:r w:rsidRPr="007655C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655C5">
        <w:rPr>
          <w:rFonts w:ascii="Avenir Next LT Pro" w:eastAsia="Times New Roman" w:hAnsi="Avenir Next LT Pro" w:cs="Calibri"/>
          <w:color w:val="000000"/>
          <w:sz w:val="28"/>
          <w:szCs w:val="28"/>
        </w:rPr>
        <w:t>Evaluating the office and supplies to determine what changes will need to be made, managing inventory, office cleaning, etc.</w:t>
      </w:r>
    </w:p>
    <w:p w:rsidR="008B6EE6" w:rsidRDefault="00D86465"/>
    <w:sectPr w:rsidR="008B6EE6" w:rsidSect="00110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C5"/>
    <w:rsid w:val="00110287"/>
    <w:rsid w:val="0033092E"/>
    <w:rsid w:val="0053315D"/>
    <w:rsid w:val="00627FA2"/>
    <w:rsid w:val="007655C5"/>
    <w:rsid w:val="00777F4B"/>
    <w:rsid w:val="00864B65"/>
    <w:rsid w:val="00D86465"/>
    <w:rsid w:val="00DC4186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C40E3"/>
  <w15:chartTrackingRefBased/>
  <w15:docId w15:val="{4EA68294-C72C-454C-9CD6-C4ACD28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5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55C5"/>
  </w:style>
  <w:style w:type="paragraph" w:styleId="ListParagraph">
    <w:name w:val="List Paragraph"/>
    <w:basedOn w:val="Normal"/>
    <w:uiPriority w:val="34"/>
    <w:qFormat/>
    <w:rsid w:val="007655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1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5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31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revenue-agency/services/subsidy/emergency-wage-subsi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Desjardins</dc:creator>
  <cp:keywords/>
  <dc:description/>
  <cp:lastModifiedBy>Kevin Desjardins</cp:lastModifiedBy>
  <cp:revision>4</cp:revision>
  <dcterms:created xsi:type="dcterms:W3CDTF">2020-04-23T12:33:00Z</dcterms:created>
  <dcterms:modified xsi:type="dcterms:W3CDTF">2020-04-24T12:45:00Z</dcterms:modified>
</cp:coreProperties>
</file>