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D8A3E" w14:textId="77777777" w:rsidR="0083124F" w:rsidRPr="0083124F" w:rsidRDefault="0083124F" w:rsidP="0083124F">
      <w:pPr>
        <w:shd w:val="clear" w:color="auto" w:fill="FFFFFF"/>
        <w:spacing w:line="480" w:lineRule="atLeast"/>
        <w:outlineLvl w:val="5"/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</w:pPr>
      <w:r w:rsidRPr="0083124F"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  <w:t>Below are several resources you can utilize to help your business during this time.</w:t>
      </w:r>
    </w:p>
    <w:p w14:paraId="7A4D392C" w14:textId="77777777" w:rsidR="0083124F" w:rsidRPr="0083124F" w:rsidRDefault="0083124F" w:rsidP="0083124F">
      <w:pPr>
        <w:shd w:val="clear" w:color="auto" w:fill="FFFFFF"/>
        <w:spacing w:after="0" w:line="480" w:lineRule="atLeast"/>
        <w:outlineLvl w:val="5"/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</w:pPr>
      <w:r w:rsidRPr="0083124F">
        <w:rPr>
          <w:rFonts w:ascii="Oswald" w:eastAsia="Times New Roman" w:hAnsi="Oswald" w:cs="Times New Roman"/>
          <w:b/>
          <w:bCs/>
          <w:color w:val="414141"/>
          <w:spacing w:val="12"/>
          <w:sz w:val="36"/>
          <w:szCs w:val="36"/>
          <w:lang w:eastAsia="en-CA"/>
        </w:rPr>
        <w:t>The six main takeaways from the webinar:</w:t>
      </w:r>
    </w:p>
    <w:p w14:paraId="7F974637" w14:textId="77777777" w:rsidR="0083124F" w:rsidRPr="0083124F" w:rsidRDefault="0083124F" w:rsidP="00831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Ensure you have a cash flow forecast</w:t>
      </w:r>
    </w:p>
    <w:p w14:paraId="696DA849" w14:textId="77777777" w:rsidR="0083124F" w:rsidRPr="0083124F" w:rsidRDefault="0083124F" w:rsidP="00831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Create and/or revisit your vision statement</w:t>
      </w:r>
    </w:p>
    <w:p w14:paraId="2EDDDF8C" w14:textId="77777777" w:rsidR="0083124F" w:rsidRPr="0083124F" w:rsidRDefault="0083124F" w:rsidP="00831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Prioritize internal communications among employees and clients/patients</w:t>
      </w:r>
    </w:p>
    <w:p w14:paraId="10D5CE56" w14:textId="77777777" w:rsidR="0083124F" w:rsidRPr="0083124F" w:rsidRDefault="0083124F" w:rsidP="00831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Launch customer/Industry Surveys</w:t>
      </w:r>
    </w:p>
    <w:p w14:paraId="75596FDD" w14:textId="77777777" w:rsidR="0083124F" w:rsidRPr="0083124F" w:rsidRDefault="0083124F" w:rsidP="00831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Complete a SWOT/TOWS analysis for your business to assess your current state</w:t>
      </w:r>
    </w:p>
    <w:p w14:paraId="03255B17" w14:textId="77777777" w:rsidR="0083124F" w:rsidRPr="0083124F" w:rsidRDefault="0083124F" w:rsidP="0083124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Create a Strategic Planning Model</w:t>
      </w:r>
    </w:p>
    <w:p w14:paraId="4B2420C0" w14:textId="77777777" w:rsidR="0083124F" w:rsidRPr="0083124F" w:rsidRDefault="0083124F" w:rsidP="0083124F">
      <w:pPr>
        <w:shd w:val="clear" w:color="auto" w:fill="FFFFFF"/>
        <w:spacing w:after="264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 </w:t>
      </w:r>
    </w:p>
    <w:p w14:paraId="440943B6" w14:textId="77777777" w:rsidR="0083124F" w:rsidRPr="0083124F" w:rsidRDefault="0083124F" w:rsidP="0083124F">
      <w:pPr>
        <w:shd w:val="clear" w:color="auto" w:fill="FFFFFF"/>
        <w:spacing w:before="286" w:after="0" w:line="480" w:lineRule="atLeast"/>
        <w:outlineLvl w:val="5"/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</w:pPr>
      <w:proofErr w:type="gramStart"/>
      <w:r w:rsidRPr="0083124F">
        <w:rPr>
          <w:rFonts w:ascii="Oswald" w:eastAsia="Times New Roman" w:hAnsi="Oswald" w:cs="Times New Roman"/>
          <w:b/>
          <w:bCs/>
          <w:color w:val="414141"/>
          <w:spacing w:val="12"/>
          <w:sz w:val="36"/>
          <w:szCs w:val="36"/>
          <w:lang w:eastAsia="en-CA"/>
        </w:rPr>
        <w:t>Plan ahead</w:t>
      </w:r>
      <w:proofErr w:type="gramEnd"/>
      <w:r w:rsidRPr="0083124F">
        <w:rPr>
          <w:rFonts w:ascii="Oswald" w:eastAsia="Times New Roman" w:hAnsi="Oswald" w:cs="Times New Roman"/>
          <w:b/>
          <w:bCs/>
          <w:color w:val="414141"/>
          <w:spacing w:val="12"/>
          <w:sz w:val="36"/>
          <w:szCs w:val="36"/>
          <w:lang w:eastAsia="en-CA"/>
        </w:rPr>
        <w:t>:</w:t>
      </w:r>
    </w:p>
    <w:p w14:paraId="3277856B" w14:textId="77777777" w:rsidR="0083124F" w:rsidRPr="0083124F" w:rsidRDefault="0083124F" w:rsidP="0083124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Develop likely revenue scenarios A, B, C: % of 2019 revenues.</w:t>
      </w:r>
    </w:p>
    <w:p w14:paraId="2E462DB8" w14:textId="77777777" w:rsidR="0083124F" w:rsidRPr="0083124F" w:rsidRDefault="0083124F" w:rsidP="0083124F">
      <w:pPr>
        <w:shd w:val="clear" w:color="auto" w:fill="FFFFFF"/>
        <w:spacing w:after="264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 </w:t>
      </w:r>
    </w:p>
    <w:p w14:paraId="0CF76276" w14:textId="77777777" w:rsidR="0083124F" w:rsidRPr="0083124F" w:rsidRDefault="0083124F" w:rsidP="0083124F">
      <w:pPr>
        <w:shd w:val="clear" w:color="auto" w:fill="FFFFFF"/>
        <w:spacing w:before="286" w:after="0" w:line="480" w:lineRule="atLeast"/>
        <w:outlineLvl w:val="5"/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</w:pPr>
      <w:r w:rsidRPr="0083124F">
        <w:rPr>
          <w:rFonts w:ascii="Oswald" w:eastAsia="Times New Roman" w:hAnsi="Oswald" w:cs="Times New Roman"/>
          <w:b/>
          <w:bCs/>
          <w:color w:val="414141"/>
          <w:spacing w:val="12"/>
          <w:sz w:val="36"/>
          <w:szCs w:val="36"/>
          <w:lang w:eastAsia="en-CA"/>
        </w:rPr>
        <w:t>Examples of opportunities for your practice:</w:t>
      </w:r>
    </w:p>
    <w:p w14:paraId="0988EFFC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Refocus on the basics, revamping office protocols/refine systems</w:t>
      </w:r>
    </w:p>
    <w:p w14:paraId="656B42FA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Reassess practice philosophy and business management</w:t>
      </w:r>
    </w:p>
    <w:p w14:paraId="5EF56602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Review practice plans</w:t>
      </w:r>
    </w:p>
    <w:p w14:paraId="075737DE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Address insurance issues/claims</w:t>
      </w:r>
    </w:p>
    <w:p w14:paraId="3806EAA8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Improve infection control techniques/systems</w:t>
      </w:r>
    </w:p>
    <w:p w14:paraId="7C6512E8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Rethink overhead and rearrange business priorities</w:t>
      </w:r>
    </w:p>
    <w:p w14:paraId="4C93535A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Reduce patient days with greater productivity on those days</w:t>
      </w:r>
    </w:p>
    <w:p w14:paraId="4AF19450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We will be a viable business in 3 months where other practices may not</w:t>
      </w:r>
    </w:p>
    <w:p w14:paraId="30D39B21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Improving office manuals</w:t>
      </w:r>
    </w:p>
    <w:p w14:paraId="40F30134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Innovation possibly, different ways of treatment for the future</w:t>
      </w:r>
    </w:p>
    <w:p w14:paraId="4581F4EB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Virtual appointments for Invisalign patients and other quick appliance checks</w:t>
      </w:r>
    </w:p>
    <w:p w14:paraId="259DAAB9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lastRenderedPageBreak/>
        <w:t>Improve the use of virtual tools to help patients/virtual check-ups and consultations</w:t>
      </w:r>
    </w:p>
    <w:p w14:paraId="2CAB3C65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Offer a concierge service</w:t>
      </w:r>
    </w:p>
    <w:p w14:paraId="4038C994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Add fresh paint on the walls and new flooring along with spring cleaning/catch up on remodeling work in the office</w:t>
      </w:r>
    </w:p>
    <w:p w14:paraId="5D9A1944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Build stronger relationships with patients</w:t>
      </w:r>
    </w:p>
    <w:p w14:paraId="7BC8321F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proofErr w:type="gramStart"/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Making contact with</w:t>
      </w:r>
      <w:proofErr w:type="gramEnd"/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 xml:space="preserve"> potential patients that you may have not had the opportunity to do so previously/engage with patients that you haven’t previously had time for</w:t>
      </w:r>
    </w:p>
    <w:p w14:paraId="4A37C918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 xml:space="preserve">Be a place of strength and stability in their lives by checking in on them often, making yourself available by phone, text and FaceTime to help them through this… even it </w:t>
      </w:r>
      <w:proofErr w:type="spellStart"/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it</w:t>
      </w:r>
      <w:proofErr w:type="spellEnd"/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 xml:space="preserve"> is just offering them emotional support</w:t>
      </w:r>
    </w:p>
    <w:p w14:paraId="592A850B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Share compassion and build through internal relationships with patients</w:t>
      </w:r>
    </w:p>
    <w:p w14:paraId="4F3EE358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Improving patient communications</w:t>
      </w:r>
    </w:p>
    <w:p w14:paraId="3AA47379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Have phone conversations with patients to reassure them that their treatment is on course</w:t>
      </w:r>
    </w:p>
    <w:p w14:paraId="51EEADE4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Market to new patients once you open again and to use methods that let them know they can still afford ortho treatment even in a recession</w:t>
      </w:r>
    </w:p>
    <w:p w14:paraId="4C91E1DD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Better education/empowerment of patients to handle orthodontic “emergencies” at home</w:t>
      </w:r>
    </w:p>
    <w:p w14:paraId="1392B38E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Good PR! People come together in a crisis</w:t>
      </w:r>
    </w:p>
    <w:p w14:paraId="7DFF0102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Become more visible in the community</w:t>
      </w:r>
    </w:p>
    <w:p w14:paraId="3AD6B34C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Community service/different community involvement/increased community outreach</w:t>
      </w:r>
    </w:p>
    <w:p w14:paraId="59A930F7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Help with the production of disinfectants and barriers for my community</w:t>
      </w:r>
    </w:p>
    <w:p w14:paraId="4AC86313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Reach out to referring dentists and share ideas and lend support to them as they navigate this time</w:t>
      </w:r>
    </w:p>
    <w:p w14:paraId="048DA699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More time for CE and to have better-trained staff at the end of this</w:t>
      </w:r>
    </w:p>
    <w:p w14:paraId="493CF520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Potentially finding qualified and experienced staff with reasonable wage requests</w:t>
      </w:r>
    </w:p>
    <w:p w14:paraId="4294B9A5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Streamline staffing</w:t>
      </w:r>
    </w:p>
    <w:p w14:paraId="5EA2D3CB" w14:textId="77777777" w:rsidR="0083124F" w:rsidRPr="0083124F" w:rsidRDefault="0083124F" w:rsidP="0083124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405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Build a stronger team having gone through this, with more focus on why their role on the team is so important</w:t>
      </w:r>
    </w:p>
    <w:p w14:paraId="4E27D8C9" w14:textId="77777777" w:rsidR="0083124F" w:rsidRPr="0083124F" w:rsidRDefault="0083124F" w:rsidP="0083124F">
      <w:pPr>
        <w:shd w:val="clear" w:color="auto" w:fill="FFFFFF"/>
        <w:spacing w:after="0" w:line="480" w:lineRule="atLeast"/>
        <w:outlineLvl w:val="5"/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</w:pPr>
      <w:r w:rsidRPr="0083124F">
        <w:rPr>
          <w:rFonts w:ascii="Oswald" w:eastAsia="Times New Roman" w:hAnsi="Oswald" w:cs="Times New Roman"/>
          <w:b/>
          <w:bCs/>
          <w:color w:val="414141"/>
          <w:spacing w:val="12"/>
          <w:sz w:val="36"/>
          <w:szCs w:val="36"/>
          <w:lang w:eastAsia="en-CA"/>
        </w:rPr>
        <w:t>Helpful links:</w:t>
      </w:r>
    </w:p>
    <w:p w14:paraId="69B478F3" w14:textId="77777777" w:rsidR="0083124F" w:rsidRPr="0083124F" w:rsidRDefault="0083124F" w:rsidP="0083124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hyperlink r:id="rId5" w:history="1">
        <w:r w:rsidRPr="0083124F">
          <w:rPr>
            <w:rFonts w:ascii="Nunito Sans" w:eastAsia="Times New Roman" w:hAnsi="Nunito Sans" w:cs="Times New Roman"/>
            <w:color w:val="0C5983"/>
            <w:sz w:val="30"/>
            <w:szCs w:val="30"/>
            <w:u w:val="single"/>
            <w:lang w:eastAsia="en-CA"/>
          </w:rPr>
          <w:t>McKinsey &amp; Company COVID-19: Implications for business, March 2020 | Executive Briefing</w:t>
        </w:r>
      </w:hyperlink>
    </w:p>
    <w:p w14:paraId="4B90EBA0" w14:textId="77777777" w:rsidR="0083124F" w:rsidRPr="0083124F" w:rsidRDefault="0083124F" w:rsidP="0083124F">
      <w:pPr>
        <w:shd w:val="clear" w:color="auto" w:fill="FFFFFF"/>
        <w:spacing w:after="264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 </w:t>
      </w:r>
    </w:p>
    <w:p w14:paraId="11AC41CE" w14:textId="77777777" w:rsidR="0083124F" w:rsidRPr="0083124F" w:rsidRDefault="0083124F" w:rsidP="0083124F">
      <w:pPr>
        <w:shd w:val="clear" w:color="auto" w:fill="FFFFFF"/>
        <w:spacing w:before="286" w:after="0" w:line="480" w:lineRule="atLeast"/>
        <w:outlineLvl w:val="5"/>
        <w:rPr>
          <w:rFonts w:ascii="Oswald" w:eastAsia="Times New Roman" w:hAnsi="Oswald" w:cs="Times New Roman"/>
          <w:color w:val="414141"/>
          <w:spacing w:val="12"/>
          <w:sz w:val="36"/>
          <w:szCs w:val="36"/>
          <w:lang w:eastAsia="en-CA"/>
        </w:rPr>
      </w:pPr>
      <w:r w:rsidRPr="0083124F">
        <w:rPr>
          <w:rFonts w:ascii="Oswald" w:eastAsia="Times New Roman" w:hAnsi="Oswald" w:cs="Times New Roman"/>
          <w:b/>
          <w:bCs/>
          <w:color w:val="414141"/>
          <w:spacing w:val="12"/>
          <w:sz w:val="36"/>
          <w:szCs w:val="36"/>
          <w:lang w:eastAsia="en-CA"/>
        </w:rPr>
        <w:t>Worksheets:</w:t>
      </w:r>
    </w:p>
    <w:p w14:paraId="186525CC" w14:textId="77777777" w:rsidR="0083124F" w:rsidRPr="0083124F" w:rsidRDefault="0083124F" w:rsidP="0083124F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hyperlink r:id="rId6" w:history="1">
        <w:r w:rsidRPr="0083124F">
          <w:rPr>
            <w:rFonts w:ascii="Nunito Sans" w:eastAsia="Times New Roman" w:hAnsi="Nunito Sans" w:cs="Times New Roman"/>
            <w:color w:val="0C5983"/>
            <w:sz w:val="30"/>
            <w:szCs w:val="30"/>
            <w:u w:val="single"/>
            <w:lang w:eastAsia="en-CA"/>
          </w:rPr>
          <w:t>Big Buzz downloadable SWOT worksheet</w:t>
        </w:r>
      </w:hyperlink>
    </w:p>
    <w:p w14:paraId="7B67D228" w14:textId="77777777" w:rsidR="0083124F" w:rsidRPr="0083124F" w:rsidRDefault="0083124F" w:rsidP="0083124F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hyperlink r:id="rId7" w:history="1">
        <w:r w:rsidRPr="0083124F">
          <w:rPr>
            <w:rFonts w:ascii="Nunito Sans" w:eastAsia="Times New Roman" w:hAnsi="Nunito Sans" w:cs="Times New Roman"/>
            <w:color w:val="0C5983"/>
            <w:sz w:val="30"/>
            <w:szCs w:val="30"/>
            <w:u w:val="single"/>
            <w:lang w:eastAsia="en-CA"/>
          </w:rPr>
          <w:t>Big Buzz downloadable TOWS worksheet</w:t>
        </w:r>
      </w:hyperlink>
    </w:p>
    <w:p w14:paraId="58F63A92" w14:textId="77777777" w:rsidR="0083124F" w:rsidRPr="0083124F" w:rsidRDefault="0083124F" w:rsidP="0083124F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hyperlink r:id="rId8" w:history="1">
        <w:r w:rsidRPr="0083124F">
          <w:rPr>
            <w:rFonts w:ascii="Nunito Sans" w:eastAsia="Times New Roman" w:hAnsi="Nunito Sans" w:cs="Times New Roman"/>
            <w:color w:val="0C5983"/>
            <w:sz w:val="30"/>
            <w:szCs w:val="30"/>
            <w:u w:val="single"/>
            <w:lang w:eastAsia="en-CA"/>
          </w:rPr>
          <w:t>Big Buzz downloadable Strategic Planning Model worksheet</w:t>
        </w:r>
      </w:hyperlink>
    </w:p>
    <w:p w14:paraId="7931DE8F" w14:textId="77777777" w:rsidR="0083124F" w:rsidRPr="0083124F" w:rsidRDefault="0083124F" w:rsidP="0083124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hyperlink r:id="rId9" w:history="1">
        <w:r w:rsidRPr="0083124F">
          <w:rPr>
            <w:rFonts w:ascii="Nunito Sans" w:eastAsia="Times New Roman" w:hAnsi="Nunito Sans" w:cs="Times New Roman"/>
            <w:color w:val="0C5983"/>
            <w:sz w:val="30"/>
            <w:szCs w:val="30"/>
            <w:u w:val="single"/>
            <w:lang w:eastAsia="en-CA"/>
          </w:rPr>
          <w:t>Big Buzz downloadable Vision Statement worksheet</w:t>
        </w:r>
      </w:hyperlink>
    </w:p>
    <w:p w14:paraId="093406E5" w14:textId="77777777" w:rsidR="0083124F" w:rsidRPr="0083124F" w:rsidRDefault="0083124F" w:rsidP="0083124F">
      <w:pPr>
        <w:shd w:val="clear" w:color="auto" w:fill="FFFFFF"/>
        <w:spacing w:after="264" w:line="240" w:lineRule="auto"/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</w:pPr>
      <w:r w:rsidRPr="0083124F">
        <w:rPr>
          <w:rFonts w:ascii="Nunito Sans" w:eastAsia="Times New Roman" w:hAnsi="Nunito Sans" w:cs="Times New Roman"/>
          <w:color w:val="414141"/>
          <w:sz w:val="30"/>
          <w:szCs w:val="30"/>
          <w:lang w:eastAsia="en-CA"/>
        </w:rPr>
        <w:t> </w:t>
      </w:r>
    </w:p>
    <w:p w14:paraId="4E000589" w14:textId="77777777" w:rsidR="00234C34" w:rsidRDefault="00234C34"/>
    <w:sectPr w:rsidR="00234C34" w:rsidSect="00EC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roman"/>
    <w:notTrueType/>
    <w:pitch w:val="default"/>
  </w:font>
  <w:font w:name="Nuni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1D07"/>
    <w:multiLevelType w:val="multilevel"/>
    <w:tmpl w:val="B56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D3100"/>
    <w:multiLevelType w:val="multilevel"/>
    <w:tmpl w:val="058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C3B71"/>
    <w:multiLevelType w:val="multilevel"/>
    <w:tmpl w:val="320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01246"/>
    <w:multiLevelType w:val="multilevel"/>
    <w:tmpl w:val="94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F87B8C"/>
    <w:multiLevelType w:val="multilevel"/>
    <w:tmpl w:val="DC0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44424"/>
    <w:multiLevelType w:val="multilevel"/>
    <w:tmpl w:val="B24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F"/>
    <w:rsid w:val="00234C34"/>
    <w:rsid w:val="0083124F"/>
    <w:rsid w:val="00E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2142"/>
  <w15:chartTrackingRefBased/>
  <w15:docId w15:val="{04BB2D9D-DE24-4F94-9963-ADB6118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30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155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84647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363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buzzinc.com/wp-content/uploads/2020/03/BigBuzz-StrategicPlanningModel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gbuzzinc.com/wp-content/uploads/2020/03/BigBuzz-TOWS-Templa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gbuzzinc.com/wp-content/uploads/2020/03/BigBuzz-SWOT-Templat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ckinsey.com/business-functions/risk/our-insights/covid-19-implications-for-business?mc_cid=5156afed07&amp;mc_eid=2d5124a4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gbuzzinc.com/wp-content/uploads/2020/03/VisionStatement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Neal</dc:creator>
  <cp:keywords/>
  <dc:description/>
  <cp:lastModifiedBy>Joel Neal</cp:lastModifiedBy>
  <cp:revision>1</cp:revision>
  <dcterms:created xsi:type="dcterms:W3CDTF">2020-03-27T15:26:00Z</dcterms:created>
  <dcterms:modified xsi:type="dcterms:W3CDTF">2020-03-27T15:28:00Z</dcterms:modified>
</cp:coreProperties>
</file>